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BFBFBF" w:themeColor="background1" w:themeShade="BF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0"/>
        <w:gridCol w:w="7820"/>
      </w:tblGrid>
      <w:tr w:rsidR="00E20DC2" w:rsidTr="532FE860" w14:paraId="452E62AD" w14:textId="77777777">
        <w:tc>
          <w:tcPr>
            <w:tcW w:w="1079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Pr="00C95A89" w:rsidR="00E20DC2" w:rsidP="00C95A89" w:rsidRDefault="00C95A89" w14:paraId="3725EE29" w14:textId="33AE3D7C">
            <w:pPr>
              <w:pStyle w:val="xmsonormal"/>
              <w:spacing w:before="0" w:beforeAutospacing="0"/>
              <w:rPr>
                <w:rFonts w:ascii="Tahoma" w:hAnsi="Tahoma" w:cs="Tahoma"/>
                <w:sz w:val="24"/>
                <w:szCs w:val="24"/>
              </w:rPr>
            </w:pPr>
            <w:r w:rsidRPr="00781F4A">
              <w:rPr>
                <w:sz w:val="24"/>
                <w:szCs w:val="24"/>
              </w:rPr>
              <w:t>If you have questions or concerns around your infant’s diet, nutrition, or feeding</w:t>
            </w:r>
            <w:r w:rsidR="007B6167">
              <w:rPr>
                <w:sz w:val="24"/>
                <w:szCs w:val="24"/>
              </w:rPr>
              <w:t>, it may help to</w:t>
            </w:r>
            <w:r w:rsidR="007C4A05">
              <w:rPr>
                <w:sz w:val="24"/>
                <w:szCs w:val="24"/>
              </w:rPr>
              <w:t xml:space="preserve">: </w:t>
            </w:r>
          </w:p>
        </w:tc>
      </w:tr>
      <w:tr w:rsidRPr="0006510E" w:rsidR="002747F9" w:rsidTr="532FE860" w14:paraId="40747521" w14:textId="77777777">
        <w:tblPrEx>
          <w:tblCellMar>
            <w:left w:w="115" w:type="dxa"/>
            <w:right w:w="115" w:type="dxa"/>
          </w:tblCellMar>
        </w:tblPrEx>
        <w:tc>
          <w:tcPr>
            <w:tcW w:w="2970" w:type="dxa"/>
            <w:tcMar>
              <w:top w:w="216" w:type="dxa"/>
              <w:left w:w="115" w:type="dxa"/>
              <w:bottom w:w="216" w:type="dxa"/>
              <w:right w:w="288" w:type="dxa"/>
            </w:tcMar>
          </w:tcPr>
          <w:p w:rsidRPr="00C87BBD" w:rsidR="002747F9" w:rsidP="002747F9" w:rsidRDefault="002747F9" w14:paraId="0E10F2AA" w14:textId="21FB3136">
            <w:pPr>
              <w:pStyle w:val="SCHeading2"/>
            </w:pPr>
            <w:r w:rsidRPr="00C87BBD">
              <w:t xml:space="preserve">Talk to Your Child’s PCP (Primary Care Provider) About Your Child </w:t>
            </w:r>
          </w:p>
        </w:tc>
        <w:tc>
          <w:tcPr>
            <w:tcW w:w="78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Pr="00CC7407" w:rsidR="002747F9" w:rsidP="002747F9" w:rsidRDefault="002747F9" w14:paraId="3C9BB9E3" w14:textId="77777777">
            <w:pPr>
              <w:pStyle w:val="SCBodyBullet"/>
              <w:rPr>
                <w:rFonts w:cs="Tahoma"/>
              </w:rPr>
            </w:pPr>
            <w:r w:rsidRPr="00CC7407">
              <w:t xml:space="preserve">Tell your child’s doctor about your questions or concerns and ask for a consult with an infant feeding specialist or for other nutrition resources in your area. </w:t>
            </w:r>
          </w:p>
          <w:p w:rsidRPr="00CC7407" w:rsidR="002747F9" w:rsidP="002747F9" w:rsidRDefault="002747F9" w14:paraId="3B3A2399" w14:textId="3D370811">
            <w:pPr>
              <w:pStyle w:val="SCBodyBullet"/>
            </w:pPr>
            <w:r w:rsidRPr="00CC7407">
              <w:t xml:space="preserve">A feeding specialist can also be called a Registered Dietitian (RD), Nutritionist (NUT), Feeding Therapist, or another therapist such as Occupational or Physical Therapist (OT/PT). </w:t>
            </w:r>
          </w:p>
        </w:tc>
      </w:tr>
      <w:tr w:rsidRPr="0006510E" w:rsidR="002747F9" w:rsidTr="532FE860" w14:paraId="153ABD27" w14:textId="77777777">
        <w:tblPrEx>
          <w:tblCellMar>
            <w:left w:w="115" w:type="dxa"/>
            <w:right w:w="115" w:type="dxa"/>
          </w:tblCellMar>
        </w:tblPrEx>
        <w:tc>
          <w:tcPr>
            <w:tcW w:w="2970" w:type="dxa"/>
            <w:tcMar>
              <w:top w:w="216" w:type="dxa"/>
              <w:left w:w="115" w:type="dxa"/>
              <w:bottom w:w="216" w:type="dxa"/>
              <w:right w:w="288" w:type="dxa"/>
            </w:tcMar>
          </w:tcPr>
          <w:p w:rsidRPr="00C87BBD" w:rsidR="002747F9" w:rsidP="002747F9" w:rsidRDefault="002747F9" w14:paraId="1DDA33BA" w14:textId="5959DF98">
            <w:pPr>
              <w:pStyle w:val="SCHeading2"/>
            </w:pPr>
            <w:r>
              <w:t>Ask a question in MyChart</w:t>
            </w:r>
          </w:p>
        </w:tc>
        <w:tc>
          <w:tcPr>
            <w:tcW w:w="78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2747F9" w:rsidP="002747F9" w:rsidRDefault="002747F9" w14:paraId="2D872032" w14:textId="5E61800D">
            <w:pPr>
              <w:pStyle w:val="SCBodyBullet"/>
              <w:rPr>
                <w:rFonts w:cs="Tahoma"/>
              </w:rPr>
            </w:pPr>
            <w:r>
              <w:rPr>
                <w:rFonts w:cs="Tahoma"/>
              </w:rPr>
              <w:t xml:space="preserve">MyChart is a way to access your medical information online. You can message your Seattle Children’s provider and feeding specialist. </w:t>
            </w:r>
          </w:p>
          <w:p w:rsidRPr="00CC7407" w:rsidR="002747F9" w:rsidP="002747F9" w:rsidRDefault="002747F9" w14:paraId="56FF24FC" w14:textId="3B8225C7">
            <w:pPr>
              <w:pStyle w:val="SCBodyBullet"/>
              <w:rPr>
                <w:rFonts w:cs="Tahoma"/>
              </w:rPr>
            </w:pPr>
            <w:r>
              <w:rPr>
                <w:rFonts w:cs="Tahoma"/>
              </w:rPr>
              <w:t>To signup, go to our website seattlechildrens.org, and click on MyChart.</w:t>
            </w:r>
          </w:p>
        </w:tc>
      </w:tr>
      <w:tr w:rsidRPr="00E20DC2" w:rsidR="002747F9" w:rsidTr="532FE860" w14:paraId="58A3054C" w14:textId="77777777">
        <w:tblPrEx>
          <w:tblCellMar>
            <w:left w:w="115" w:type="dxa"/>
            <w:right w:w="115" w:type="dxa"/>
          </w:tblCellMar>
        </w:tblPrEx>
        <w:tc>
          <w:tcPr>
            <w:tcW w:w="2970" w:type="dxa"/>
            <w:tcMar>
              <w:top w:w="216" w:type="dxa"/>
              <w:left w:w="115" w:type="dxa"/>
              <w:bottom w:w="216" w:type="dxa"/>
              <w:right w:w="288" w:type="dxa"/>
            </w:tcMar>
          </w:tcPr>
          <w:p w:rsidRPr="00C87BBD" w:rsidR="002747F9" w:rsidP="002747F9" w:rsidRDefault="002747F9" w14:paraId="49220A74" w14:textId="239AA924">
            <w:pPr>
              <w:pStyle w:val="SCHeading2"/>
            </w:pPr>
            <w:r w:rsidRPr="00C87BBD">
              <w:t xml:space="preserve">Meet with an Infant Feeding Specialist at Seattle Children’s Hospital </w:t>
            </w:r>
          </w:p>
        </w:tc>
        <w:tc>
          <w:tcPr>
            <w:tcW w:w="78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Pr="00CC7407" w:rsidR="002747F9" w:rsidP="002747F9" w:rsidRDefault="002747F9" w14:paraId="39F7E9F8" w14:textId="6215E2B0">
            <w:pPr>
              <w:pStyle w:val="SCBodyBullet"/>
              <w:ind w:left="245"/>
              <w:rPr>
                <w:rFonts w:cs="Tahoma"/>
              </w:rPr>
            </w:pPr>
            <w:r w:rsidRPr="00CC7407">
              <w:t>If you have any upcoming Seattle Children’s appointment, request a follow up with an infant feeding specialist.</w:t>
            </w:r>
          </w:p>
          <w:p w:rsidRPr="00CC7407" w:rsidR="002747F9" w:rsidP="002747F9" w:rsidRDefault="002747F9" w14:paraId="76D7A329" w14:textId="77777777">
            <w:pPr>
              <w:pStyle w:val="SCBodyBullet"/>
              <w:ind w:left="245"/>
              <w:rPr>
                <w:rFonts w:cs="Tahoma"/>
              </w:rPr>
            </w:pPr>
            <w:r w:rsidRPr="00CC7407">
              <w:t>If you already have a Seattle Children’s Nutrition or OT/PT appointment scheduled, call and request to speak with them sooner.</w:t>
            </w:r>
          </w:p>
          <w:p w:rsidRPr="00CC7407" w:rsidR="002747F9" w:rsidP="002747F9" w:rsidRDefault="002747F9" w14:paraId="499B5474" w14:textId="603B7E3D">
            <w:pPr>
              <w:pStyle w:val="SCFreeInterpreterBullet"/>
              <w:rPr>
                <w:rFonts w:cs="Tahoma"/>
                <w:sz w:val="20"/>
                <w:szCs w:val="20"/>
              </w:rPr>
            </w:pPr>
            <w:r w:rsidRPr="00CC7407">
              <w:rPr>
                <w:sz w:val="20"/>
                <w:szCs w:val="20"/>
              </w:rPr>
              <w:t xml:space="preserve">Call Nutrition at: 206-987-4758 </w:t>
            </w:r>
          </w:p>
          <w:p w:rsidRPr="00CC7407" w:rsidR="002747F9" w:rsidP="002747F9" w:rsidRDefault="002747F9" w14:paraId="630C3FF5" w14:textId="429DFE17">
            <w:pPr>
              <w:pStyle w:val="SCFreeInterpreterBullet"/>
              <w:rPr>
                <w:rFonts w:cs="Tahoma"/>
                <w:sz w:val="20"/>
                <w:szCs w:val="20"/>
              </w:rPr>
            </w:pPr>
            <w:r w:rsidRPr="00CC7407">
              <w:rPr>
                <w:sz w:val="20"/>
                <w:szCs w:val="20"/>
              </w:rPr>
              <w:t>Call OT/PT at: 206-987-2613</w:t>
            </w:r>
          </w:p>
          <w:p w:rsidRPr="002747F9" w:rsidR="002747F9" w:rsidP="002747F9" w:rsidRDefault="002747F9" w14:paraId="4AAD8A6D" w14:textId="77777777">
            <w:pPr>
              <w:pStyle w:val="SCBodyBullet"/>
              <w:ind w:left="245"/>
              <w:rPr>
                <w:rFonts w:cs="Tahoma"/>
              </w:rPr>
            </w:pPr>
            <w:r w:rsidRPr="00CC7407">
              <w:t>Your local birthing hospital may also have infant feeding specialists.</w:t>
            </w:r>
          </w:p>
          <w:p w:rsidR="002747F9" w:rsidP="002747F9" w:rsidRDefault="002747F9" w14:paraId="011CE421" w14:textId="77777777">
            <w:pPr>
              <w:pStyle w:val="SCBodyBullet"/>
              <w:numPr>
                <w:ilvl w:val="0"/>
                <w:numId w:val="0"/>
              </w:numPr>
              <w:ind w:left="29"/>
              <w:rPr>
                <w:rFonts w:cs="Tahoma"/>
              </w:rPr>
            </w:pPr>
          </w:p>
          <w:p w:rsidRPr="00CC7407" w:rsidR="002747F9" w:rsidP="002747F9" w:rsidRDefault="002747F9" w14:paraId="176A0087" w14:textId="2D53069B">
            <w:pPr>
              <w:pStyle w:val="SCBodyBullet"/>
              <w:numPr>
                <w:ilvl w:val="0"/>
                <w:numId w:val="0"/>
              </w:numPr>
              <w:ind w:left="29"/>
              <w:rPr>
                <w:rFonts w:cs="Tahoma"/>
              </w:rPr>
            </w:pPr>
            <w:r>
              <w:rPr>
                <w:rFonts w:cs="Tahoma"/>
              </w:rPr>
              <w:t>My feeding specialist is: _________________________________________</w:t>
            </w:r>
          </w:p>
        </w:tc>
      </w:tr>
      <w:tr w:rsidRPr="00E20DC2" w:rsidR="002747F9" w:rsidTr="532FE860" w14:paraId="53F09B40" w14:textId="77777777">
        <w:tblPrEx>
          <w:tblCellMar>
            <w:left w:w="115" w:type="dxa"/>
            <w:right w:w="115" w:type="dxa"/>
          </w:tblCellMar>
        </w:tblPrEx>
        <w:tc>
          <w:tcPr>
            <w:tcW w:w="2970" w:type="dxa"/>
            <w:tcMar>
              <w:top w:w="216" w:type="dxa"/>
              <w:left w:w="115" w:type="dxa"/>
              <w:bottom w:w="216" w:type="dxa"/>
              <w:right w:w="288" w:type="dxa"/>
            </w:tcMar>
          </w:tcPr>
          <w:p w:rsidRPr="00C87BBD" w:rsidR="002747F9" w:rsidP="002747F9" w:rsidRDefault="002747F9" w14:paraId="6D6DD03A" w14:textId="289D979C">
            <w:pPr>
              <w:pStyle w:val="SCHeading2"/>
            </w:pPr>
            <w:r w:rsidRPr="00C87BBD">
              <w:t xml:space="preserve">Ask your WIC or Early Intervention Office for more information </w:t>
            </w:r>
          </w:p>
        </w:tc>
        <w:tc>
          <w:tcPr>
            <w:tcW w:w="78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Pr="00CC7407" w:rsidR="002747F9" w:rsidP="002747F9" w:rsidRDefault="002747F9" w14:paraId="2A897C3B" w14:textId="56300B81">
            <w:pPr>
              <w:pStyle w:val="SCBodyBullet"/>
              <w:ind w:left="245"/>
            </w:pPr>
            <w:r w:rsidRPr="00CC7407">
              <w:t xml:space="preserve">If your child meets with an Early Intervention (also known as ESIT/EI/Birth to Three) program, ask </w:t>
            </w:r>
          </w:p>
          <w:p w:rsidRPr="00CC7407" w:rsidR="002747F9" w:rsidP="002747F9" w:rsidRDefault="002747F9" w14:paraId="28DA2600" w14:textId="11EC0F5D">
            <w:pPr>
              <w:pStyle w:val="SCBodyBullet"/>
              <w:ind w:left="245"/>
            </w:pPr>
            <w:r w:rsidRPr="00CC7407">
              <w:rPr>
                <w:rFonts w:eastAsia="Times New Roman"/>
              </w:rPr>
              <w:t xml:space="preserve">Contact your local Woman Infant and Children’s (WIC) office: </w:t>
            </w:r>
            <w:hyperlink w:history="1" r:id="rId7">
              <w:r w:rsidRPr="00CC7407">
                <w:rPr>
                  <w:rStyle w:val="Hyperlink"/>
                  <w:rFonts w:eastAsia="Times New Roman"/>
                </w:rPr>
                <w:t>https://resources.parenthelp123.org/</w:t>
              </w:r>
            </w:hyperlink>
          </w:p>
        </w:tc>
      </w:tr>
      <w:tr w:rsidR="002747F9" w:rsidTr="532FE860" w14:paraId="757057EA" w14:textId="77777777">
        <w:tblPrEx>
          <w:tblCellMar>
            <w:left w:w="115" w:type="dxa"/>
            <w:right w:w="115" w:type="dxa"/>
          </w:tblCellMar>
        </w:tblPrEx>
        <w:tc>
          <w:tcPr>
            <w:tcW w:w="2970" w:type="dxa"/>
            <w:tcMar>
              <w:top w:w="216" w:type="dxa"/>
              <w:left w:w="115" w:type="dxa"/>
              <w:bottom w:w="216" w:type="dxa"/>
              <w:right w:w="288" w:type="dxa"/>
            </w:tcMar>
          </w:tcPr>
          <w:p w:rsidRPr="00C87BBD" w:rsidR="002747F9" w:rsidP="002747F9" w:rsidRDefault="002747F9" w14:paraId="010F0EAD" w14:textId="6ECEF116">
            <w:pPr>
              <w:pStyle w:val="SCHeading2"/>
            </w:pPr>
            <w:r w:rsidRPr="00C87BBD">
              <w:t xml:space="preserve">Take the Feeding Matters Infant and Child Feeding Questionnaire </w:t>
            </w:r>
          </w:p>
          <w:p w:rsidRPr="00C87BBD" w:rsidR="002747F9" w:rsidP="002747F9" w:rsidRDefault="002747F9" w14:paraId="39B2C310" w14:textId="77777777">
            <w:pPr>
              <w:pStyle w:val="SCHeading2"/>
            </w:pPr>
          </w:p>
        </w:tc>
        <w:tc>
          <w:tcPr>
            <w:tcW w:w="78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Pr="00CC7407" w:rsidR="002747F9" w:rsidP="002747F9" w:rsidRDefault="002747F9" w14:paraId="5FA8FA38" w14:textId="2F31BA5B">
            <w:pPr>
              <w:pStyle w:val="SCBodyBullet-Last"/>
              <w:rPr/>
            </w:pPr>
            <w:r w:rsidR="532FE860">
              <w:rPr/>
              <w:t>Feeding Matters has a free o</w:t>
            </w:r>
            <w:r w:rsidR="532FE860">
              <w:rPr/>
              <w:t xml:space="preserve">nline questionnaire </w:t>
            </w:r>
            <w:r w:rsidR="532FE860">
              <w:rPr/>
              <w:t xml:space="preserve">that can help you decide </w:t>
            </w:r>
            <w:r w:rsidR="532FE860">
              <w:rPr/>
              <w:t>whether or not</w:t>
            </w:r>
            <w:r w:rsidR="532FE860">
              <w:rPr/>
              <w:t xml:space="preserve"> it would help to get more feeding evaluation for your infant. The questionnaire asks </w:t>
            </w:r>
            <w:r w:rsidR="532FE860">
              <w:rPr/>
              <w:t>yes</w:t>
            </w:r>
            <w:r w:rsidR="532FE860">
              <w:rPr/>
              <w:t xml:space="preserve"> or no questions based on your child’s corrected ag</w:t>
            </w:r>
            <w:r w:rsidR="532FE860">
              <w:rPr/>
              <w:t>e</w:t>
            </w:r>
            <w:r w:rsidR="532FE860">
              <w:rPr/>
              <w:t>. You can print out or email the results to your primary care provider to discuss further.</w:t>
            </w:r>
          </w:p>
          <w:p w:rsidRPr="00CC7407" w:rsidR="002747F9" w:rsidP="002747F9" w:rsidRDefault="002747F9" w14:paraId="19F209D8" w14:textId="5F0E6791">
            <w:pPr>
              <w:pStyle w:val="SCBodyBullet"/>
            </w:pPr>
            <w:r w:rsidRPr="00CC7407">
              <w:t xml:space="preserve">Complete the questionnaire at: </w:t>
            </w:r>
            <w:hyperlink w:history="1" r:id="rId12">
              <w:r w:rsidRPr="00CC7407">
                <w:rPr>
                  <w:rStyle w:val="Hyperlink"/>
                </w:rPr>
                <w:t>https://questionnaire.feedingmatters.org/questionnaire</w:t>
              </w:r>
            </w:hyperlink>
          </w:p>
        </w:tc>
      </w:tr>
      <w:tr w:rsidR="002747F9" w:rsidTr="532FE860" w14:paraId="05779ACE" w14:textId="77777777">
        <w:tblPrEx>
          <w:tblCellMar>
            <w:left w:w="115" w:type="dxa"/>
            <w:right w:w="115" w:type="dxa"/>
          </w:tblCellMar>
        </w:tblPrEx>
        <w:tc>
          <w:tcPr>
            <w:tcW w:w="2970" w:type="dxa"/>
            <w:tcMar>
              <w:top w:w="216" w:type="dxa"/>
              <w:left w:w="115" w:type="dxa"/>
              <w:bottom w:w="216" w:type="dxa"/>
              <w:right w:w="288" w:type="dxa"/>
            </w:tcMar>
          </w:tcPr>
          <w:p w:rsidRPr="00C87BBD" w:rsidR="002747F9" w:rsidP="002747F9" w:rsidRDefault="002747F9" w14:paraId="1841407A" w14:textId="0B110D15">
            <w:pPr>
              <w:pStyle w:val="SCHeading2"/>
            </w:pPr>
            <w:r w:rsidRPr="00C87BBD">
              <w:t xml:space="preserve">Learn from a lactation specialist </w:t>
            </w:r>
          </w:p>
        </w:tc>
        <w:tc>
          <w:tcPr>
            <w:tcW w:w="78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Pr="00580BCC" w:rsidR="002747F9" w:rsidP="002747F9" w:rsidRDefault="002747F9" w14:paraId="1A533727" w14:textId="2C9FB2CA">
            <w:pPr>
              <w:pStyle w:val="SCBodyBullet"/>
              <w:rPr>
                <w:lang w:val="es-MX"/>
              </w:rPr>
            </w:pPr>
            <w:r>
              <w:t xml:space="preserve">Visit </w:t>
            </w:r>
            <w:r w:rsidRPr="00CC7407">
              <w:t xml:space="preserve">La Leche League </w:t>
            </w:r>
            <w:r>
              <w:t xml:space="preserve">at </w:t>
            </w:r>
            <w:hyperlink w:history="1" r:id="rId13">
              <w:r w:rsidRPr="00CC7407">
                <w:rPr>
                  <w:rStyle w:val="Hyperlink"/>
                  <w:lang w:val="es-MX"/>
                </w:rPr>
                <w:t>https://lllusa.org/locator/</w:t>
              </w:r>
            </w:hyperlink>
            <w:r w:rsidRPr="00CC7407">
              <w:rPr>
                <w:rStyle w:val="Hyperlink"/>
                <w:u w:val="none"/>
                <w:lang w:val="es-MX"/>
              </w:rPr>
              <w:t xml:space="preserve"> </w:t>
            </w:r>
            <w:r w:rsidRPr="00CC7407">
              <w:t xml:space="preserve">to connect with lactation specialists. </w:t>
            </w:r>
            <w:r>
              <w:t>M</w:t>
            </w:r>
            <w:r w:rsidRPr="00CC7407">
              <w:t xml:space="preserve">eetings </w:t>
            </w:r>
            <w:r>
              <w:t xml:space="preserve">may be able to be done </w:t>
            </w:r>
            <w:r w:rsidRPr="00CC7407">
              <w:t>virtually.</w:t>
            </w:r>
          </w:p>
        </w:tc>
      </w:tr>
      <w:tr w:rsidR="002747F9" w:rsidTr="532FE860" w14:paraId="2F97A4C4" w14:textId="77777777">
        <w:tblPrEx>
          <w:tblCellMar>
            <w:left w:w="115" w:type="dxa"/>
            <w:right w:w="115" w:type="dxa"/>
          </w:tblCellMar>
        </w:tblPrEx>
        <w:tc>
          <w:tcPr>
            <w:tcW w:w="2970" w:type="dxa"/>
            <w:tcMar>
              <w:top w:w="216" w:type="dxa"/>
              <w:left w:w="115" w:type="dxa"/>
              <w:bottom w:w="216" w:type="dxa"/>
              <w:right w:w="288" w:type="dxa"/>
            </w:tcMar>
          </w:tcPr>
          <w:p w:rsidRPr="00C87BBD" w:rsidR="002747F9" w:rsidP="002747F9" w:rsidRDefault="002747F9" w14:paraId="38250F89" w14:textId="2AD2BA38">
            <w:pPr>
              <w:pStyle w:val="SCHeading3"/>
              <w:rPr>
                <w:b/>
                <w:bCs/>
                <w:color w:val="auto"/>
                <w:sz w:val="26"/>
                <w:szCs w:val="26"/>
              </w:rPr>
            </w:pPr>
            <w:r w:rsidRPr="00C87BBD">
              <w:rPr>
                <w:color w:val="auto"/>
                <w:sz w:val="26"/>
                <w:szCs w:val="26"/>
              </w:rPr>
              <w:t xml:space="preserve">Read about general tips on feeding </w:t>
            </w:r>
            <w:r w:rsidRPr="00C87BBD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82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Pr="00580BCC" w:rsidR="002747F9" w:rsidP="002747F9" w:rsidRDefault="002747F9" w14:paraId="09A8BAF2" w14:textId="29E1FD66">
            <w:pPr>
              <w:pStyle w:val="SCBodyBullet"/>
            </w:pPr>
            <w:r>
              <w:t xml:space="preserve">Visit the </w:t>
            </w:r>
            <w:r w:rsidRPr="00CC7407">
              <w:t xml:space="preserve">Ellyn </w:t>
            </w:r>
            <w:proofErr w:type="spellStart"/>
            <w:r w:rsidRPr="00CC7407">
              <w:t>Satter</w:t>
            </w:r>
            <w:proofErr w:type="spellEnd"/>
            <w:r w:rsidRPr="00CC7407">
              <w:t xml:space="preserve"> Institute</w:t>
            </w:r>
            <w:r w:rsidRPr="00CC74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at </w:t>
            </w:r>
            <w:hyperlink w:history="1" r:id="rId14">
              <w:r w:rsidRPr="0057543E">
                <w:rPr>
                  <w:rStyle w:val="Hyperlink"/>
                </w:rPr>
                <w:t>ellynsatterinstitute.org</w:t>
              </w:r>
            </w:hyperlink>
            <w:r>
              <w:t xml:space="preserve"> to read </w:t>
            </w:r>
            <w:r w:rsidRPr="00580BCC">
              <w:t xml:space="preserve">general tips on feeding your child from birth to </w:t>
            </w:r>
            <w:r>
              <w:t xml:space="preserve">teenage years. </w:t>
            </w:r>
          </w:p>
          <w:p w:rsidRPr="00CC7407" w:rsidR="002747F9" w:rsidP="002747F9" w:rsidRDefault="002747F9" w14:paraId="2918984E" w14:textId="77777777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:rsidR="00E20DC2" w:rsidRDefault="00E20DC2" w14:paraId="363A909D" w14:textId="471B6250"/>
    <w:sectPr w:rsidR="00E20DC2" w:rsidSect="005F4215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 w:code="1"/>
      <w:pgMar w:top="1440" w:right="720" w:bottom="720" w:left="720" w:header="576" w:footer="36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0DC2" w:rsidP="00E20DC2" w:rsidRDefault="00E20DC2" w14:paraId="6C04A55C" w14:textId="77777777">
      <w:pPr>
        <w:spacing w:after="0" w:line="240" w:lineRule="auto"/>
      </w:pPr>
      <w:r>
        <w:separator/>
      </w:r>
    </w:p>
  </w:endnote>
  <w:endnote w:type="continuationSeparator" w:id="0">
    <w:p w:rsidR="00E20DC2" w:rsidP="00E20DC2" w:rsidRDefault="00E20DC2" w14:paraId="4454F3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Calibri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F4215" w:rsidR="005F4215" w:rsidP="005F4215" w:rsidRDefault="005F4215" w14:paraId="7E6B3069" w14:textId="77777777">
    <w:pPr>
      <w:pStyle w:val="SCPageNumber"/>
      <w:jc w:val="right"/>
    </w:pPr>
    <w:r w:rsidRPr="005F4215">
      <w:rPr>
        <w:rStyle w:val="PageNumber"/>
      </w:rPr>
      <w:fldChar w:fldCharType="begin"/>
    </w:r>
    <w:r w:rsidRPr="005F4215">
      <w:rPr>
        <w:rStyle w:val="PageNumber"/>
      </w:rPr>
      <w:instrText xml:space="preserve"> PAGE </w:instrText>
    </w:r>
    <w:r w:rsidRPr="005F4215">
      <w:rPr>
        <w:rStyle w:val="PageNumber"/>
      </w:rPr>
      <w:fldChar w:fldCharType="separate"/>
    </w:r>
    <w:r w:rsidRPr="005F4215">
      <w:rPr>
        <w:rStyle w:val="PageNumber"/>
      </w:rPr>
      <w:t>2</w:t>
    </w:r>
    <w:r w:rsidRPr="005F4215">
      <w:rPr>
        <w:rStyle w:val="PageNumber"/>
      </w:rPr>
      <w:fldChar w:fldCharType="end"/>
    </w:r>
    <w:r w:rsidRPr="005F4215">
      <w:rPr>
        <w:rStyle w:val="PageNumber"/>
      </w:rPr>
      <w:t xml:space="preserve"> of </w:t>
    </w:r>
    <w:r w:rsidRPr="005F4215">
      <w:rPr>
        <w:rStyle w:val="PageNumber"/>
      </w:rPr>
      <w:fldChar w:fldCharType="begin"/>
    </w:r>
    <w:r w:rsidRPr="005F4215">
      <w:rPr>
        <w:rStyle w:val="PageNumber"/>
      </w:rPr>
      <w:instrText xml:space="preserve"> NUMPAGES </w:instrText>
    </w:r>
    <w:r w:rsidRPr="005F4215">
      <w:rPr>
        <w:rStyle w:val="PageNumber"/>
      </w:rPr>
      <w:fldChar w:fldCharType="separate"/>
    </w:r>
    <w:r w:rsidRPr="005F4215">
      <w:rPr>
        <w:rStyle w:val="PageNumber"/>
      </w:rPr>
      <w:t>2</w:t>
    </w:r>
    <w:r w:rsidRPr="005F421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leGrid"/>
      <w:tblW w:w="1073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6A6A6" w:themeColor="background1" w:themeShade="A6" w:sz="4" w:space="0"/>
        <w:insideV w:val="single" w:color="A6A6A6" w:themeColor="background1" w:themeShade="A6" w:sz="4" w:space="0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75"/>
      <w:gridCol w:w="3683"/>
      <w:gridCol w:w="2977"/>
    </w:tblGrid>
    <w:tr w:rsidRPr="009372F0" w:rsidR="005F4215" w:rsidTr="000C5A47" w14:paraId="53AAE475" w14:textId="77777777">
      <w:trPr>
        <w:trHeight w:val="270" w:hRule="exact"/>
      </w:trPr>
      <w:tc>
        <w:tcPr>
          <w:tcW w:w="4075" w:type="dxa"/>
          <w:tcBorders>
            <w:top w:val="nil"/>
            <w:bottom w:val="single" w:color="BFBFBF" w:themeColor="background1" w:themeShade="BF" w:sz="24" w:space="0"/>
            <w:right w:val="nil"/>
          </w:tcBorders>
        </w:tcPr>
        <w:p w:rsidRPr="00316C0F" w:rsidR="005F4215" w:rsidP="005F4215" w:rsidRDefault="005F4215" w14:paraId="054677A1" w14:textId="77777777">
          <w:pPr>
            <w:tabs>
              <w:tab w:val="right" w:pos="7531"/>
              <w:tab w:val="right" w:pos="7560"/>
              <w:tab w:val="right" w:pos="8640"/>
            </w:tabs>
            <w:rPr>
              <w:rFonts w:ascii="Gotham Book" w:hAnsi="Gotham Book"/>
              <w:noProof/>
              <w:sz w:val="6"/>
              <w:szCs w:val="6"/>
            </w:rPr>
          </w:pPr>
        </w:p>
      </w:tc>
      <w:tc>
        <w:tcPr>
          <w:tcW w:w="3683" w:type="dxa"/>
          <w:tcBorders>
            <w:top w:val="nil"/>
            <w:left w:val="nil"/>
            <w:bottom w:val="single" w:color="BFBFBF" w:themeColor="background1" w:themeShade="BF" w:sz="24" w:space="0"/>
            <w:right w:val="nil"/>
          </w:tcBorders>
        </w:tcPr>
        <w:p w:rsidRPr="00316C0F" w:rsidR="005F4215" w:rsidP="005F4215" w:rsidRDefault="005F4215" w14:paraId="7B68115C" w14:textId="77777777">
          <w:pPr>
            <w:keepNext/>
            <w:framePr w:hSpace="187" w:wrap="around" w:hAnchor="page" w:vAnchor="page" w:xAlign="center" w:y="11377"/>
            <w:suppressOverlap/>
            <w:rPr>
              <w:rFonts w:ascii="Gotham Book" w:hAnsi="Gotham Book"/>
              <w:sz w:val="6"/>
              <w:szCs w:val="6"/>
            </w:rPr>
          </w:pPr>
        </w:p>
      </w:tc>
      <w:tc>
        <w:tcPr>
          <w:tcW w:w="2977" w:type="dxa"/>
          <w:tcBorders>
            <w:top w:val="nil"/>
            <w:left w:val="nil"/>
            <w:bottom w:val="single" w:color="BFBFBF" w:themeColor="background1" w:themeShade="BF" w:sz="24" w:space="0"/>
          </w:tcBorders>
          <w:tcMar>
            <w:right w:w="0" w:type="dxa"/>
          </w:tcMar>
        </w:tcPr>
        <w:p w:rsidRPr="00A43F38" w:rsidR="005F4215" w:rsidP="005F4215" w:rsidRDefault="005F4215" w14:paraId="626EE743" w14:textId="77777777">
          <w:pPr>
            <w:pStyle w:val="SCFirstPageFooter"/>
            <w:tabs>
              <w:tab w:val="right" w:pos="7531"/>
              <w:tab w:val="right" w:pos="7560"/>
            </w:tabs>
            <w:ind w:left="-2520"/>
            <w:jc w:val="right"/>
          </w:pPr>
          <w:r w:rsidRPr="002F37C8">
            <w:rPr>
              <w:rStyle w:val="PageNumber"/>
              <w:b/>
            </w:rPr>
            <w:fldChar w:fldCharType="begin"/>
          </w:r>
          <w:r w:rsidRPr="002F37C8">
            <w:rPr>
              <w:rStyle w:val="PageNumber"/>
            </w:rPr>
            <w:instrText xml:space="preserve"> PAGE </w:instrText>
          </w:r>
          <w:r w:rsidRPr="002F37C8">
            <w:rPr>
              <w:rStyle w:val="PageNumber"/>
              <w:b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2F37C8">
            <w:rPr>
              <w:rStyle w:val="PageNumber"/>
              <w:b/>
            </w:rPr>
            <w:fldChar w:fldCharType="end"/>
          </w:r>
          <w:r w:rsidRPr="002F37C8">
            <w:rPr>
              <w:rStyle w:val="PageNumber"/>
            </w:rPr>
            <w:t xml:space="preserve"> of </w:t>
          </w:r>
          <w:r w:rsidRPr="002F37C8">
            <w:rPr>
              <w:rStyle w:val="PageNumber"/>
              <w:b/>
            </w:rPr>
            <w:fldChar w:fldCharType="begin"/>
          </w:r>
          <w:r w:rsidRPr="002F37C8">
            <w:rPr>
              <w:rStyle w:val="PageNumber"/>
            </w:rPr>
            <w:instrText xml:space="preserve"> NUMPAGES </w:instrText>
          </w:r>
          <w:r w:rsidRPr="002F37C8">
            <w:rPr>
              <w:rStyle w:val="PageNumber"/>
              <w:b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2F37C8">
            <w:rPr>
              <w:rStyle w:val="PageNumber"/>
              <w:b/>
            </w:rPr>
            <w:fldChar w:fldCharType="end"/>
          </w:r>
        </w:p>
      </w:tc>
    </w:tr>
    <w:tr w:rsidRPr="009372F0" w:rsidR="005F4215" w:rsidTr="000C5A47" w14:paraId="4F51E20C" w14:textId="77777777">
      <w:trPr>
        <w:trHeight w:val="153" w:hRule="exact"/>
      </w:trPr>
      <w:tc>
        <w:tcPr>
          <w:tcW w:w="4075" w:type="dxa"/>
          <w:tcBorders>
            <w:top w:val="single" w:color="BFBFBF" w:themeColor="background1" w:themeShade="BF" w:sz="24" w:space="0"/>
            <w:bottom w:val="nil"/>
            <w:right w:val="nil"/>
          </w:tcBorders>
        </w:tcPr>
        <w:p w:rsidRPr="00316C0F" w:rsidR="005F4215" w:rsidP="005F4215" w:rsidRDefault="005F4215" w14:paraId="5E0B44A7" w14:textId="77777777">
          <w:pPr>
            <w:tabs>
              <w:tab w:val="right" w:pos="7531"/>
              <w:tab w:val="right" w:pos="7560"/>
              <w:tab w:val="right" w:pos="8640"/>
            </w:tabs>
            <w:rPr>
              <w:rFonts w:ascii="Gotham Book" w:hAnsi="Gotham Book"/>
              <w:noProof/>
              <w:sz w:val="6"/>
              <w:szCs w:val="6"/>
            </w:rPr>
          </w:pPr>
          <w:bookmarkStart w:name="_Hlk522798821" w:id="1"/>
        </w:p>
      </w:tc>
      <w:tc>
        <w:tcPr>
          <w:tcW w:w="3683" w:type="dxa"/>
          <w:tcBorders>
            <w:top w:val="single" w:color="BFBFBF" w:themeColor="background1" w:themeShade="BF" w:sz="24" w:space="0"/>
            <w:left w:val="nil"/>
            <w:bottom w:val="nil"/>
            <w:right w:val="nil"/>
          </w:tcBorders>
        </w:tcPr>
        <w:p w:rsidRPr="00316C0F" w:rsidR="005F4215" w:rsidP="005F4215" w:rsidRDefault="005F4215" w14:paraId="7155A6F0" w14:textId="77777777">
          <w:pPr>
            <w:keepNext/>
            <w:framePr w:hSpace="187" w:wrap="around" w:hAnchor="page" w:vAnchor="page" w:xAlign="center" w:y="11377"/>
            <w:suppressOverlap/>
            <w:rPr>
              <w:rFonts w:ascii="Gotham Book" w:hAnsi="Gotham Book"/>
              <w:sz w:val="6"/>
              <w:szCs w:val="6"/>
            </w:rPr>
          </w:pPr>
        </w:p>
      </w:tc>
      <w:tc>
        <w:tcPr>
          <w:tcW w:w="2977" w:type="dxa"/>
          <w:tcBorders>
            <w:top w:val="single" w:color="BFBFBF" w:themeColor="background1" w:themeShade="BF" w:sz="24" w:space="0"/>
            <w:left w:val="nil"/>
            <w:bottom w:val="nil"/>
          </w:tcBorders>
        </w:tcPr>
        <w:p w:rsidRPr="00316C0F" w:rsidR="005F4215" w:rsidP="005F4215" w:rsidRDefault="005F4215" w14:paraId="7DF23115" w14:textId="77777777">
          <w:pPr>
            <w:keepNext/>
            <w:framePr w:hSpace="187" w:wrap="around" w:hAnchor="page" w:vAnchor="page" w:xAlign="center" w:y="11377"/>
            <w:suppressOverlap/>
            <w:rPr>
              <w:rFonts w:ascii="Gotham Book" w:hAnsi="Gotham Book"/>
              <w:sz w:val="6"/>
              <w:szCs w:val="6"/>
            </w:rPr>
          </w:pPr>
        </w:p>
      </w:tc>
    </w:tr>
    <w:tr w:rsidRPr="009372F0" w:rsidR="005F4215" w:rsidTr="00CE2935" w14:paraId="0DA79CF8" w14:textId="77777777">
      <w:tc>
        <w:tcPr>
          <w:tcW w:w="4075" w:type="dxa"/>
          <w:tcBorders>
            <w:top w:val="nil"/>
            <w:left w:val="single" w:color="BFBFBF" w:themeColor="background1" w:themeShade="BF" w:sz="4" w:space="0"/>
            <w:bottom w:val="nil"/>
            <w:right w:val="single" w:color="BFBFBF" w:themeColor="background1" w:themeShade="BF" w:sz="4" w:space="0"/>
          </w:tcBorders>
        </w:tcPr>
        <w:p w:rsidRPr="009372F0" w:rsidR="005F4215" w:rsidP="006251DB" w:rsidRDefault="005F4215" w14:paraId="1359C419" w14:textId="77777777">
          <w:pPr>
            <w:pStyle w:val="SCFirstPageFooterHeader"/>
          </w:pPr>
          <w:r w:rsidRPr="009372F0">
            <w:t>To Learn More</w:t>
          </w:r>
        </w:p>
        <w:p w:rsidR="00A63C4F" w:rsidP="00A63C4F" w:rsidRDefault="00023BD1" w14:paraId="75C4AF79" w14:textId="77777777">
          <w:pPr>
            <w:pStyle w:val="SCToLearnMoreBullet"/>
          </w:pPr>
          <w:r>
            <w:t>Department</w:t>
          </w:r>
          <w:r w:rsidR="00A63C4F">
            <w:t xml:space="preserve"> </w:t>
          </w:r>
          <w:r w:rsidR="00A63C4F">
            <w:br/>
          </w:r>
          <w:r w:rsidR="00A63C4F">
            <w:t>206-987-</w:t>
          </w:r>
          <w:r>
            <w:t>000</w:t>
          </w:r>
          <w:r w:rsidR="00A63C4F">
            <w:t xml:space="preserve">0 </w:t>
          </w:r>
        </w:p>
        <w:p w:rsidRPr="006251DB" w:rsidR="005F4215" w:rsidP="006251DB" w:rsidRDefault="005F4215" w14:paraId="158C9E3C" w14:textId="77777777">
          <w:pPr>
            <w:pStyle w:val="SCToLearnMoreBullet"/>
          </w:pPr>
          <w:r w:rsidRPr="006251DB">
            <w:t>Ask your child’s healthcare provider</w:t>
          </w:r>
        </w:p>
        <w:p w:rsidRPr="0041289D" w:rsidR="005F4215" w:rsidP="006251DB" w:rsidRDefault="00821DB6" w14:paraId="4E9F1F37" w14:textId="77777777">
          <w:pPr>
            <w:pStyle w:val="SCToLearnMoreBullet"/>
            <w:rPr>
              <w:b/>
              <w:sz w:val="20"/>
            </w:rPr>
          </w:pPr>
          <w:hyperlink w:history="1" r:id="rId1">
            <w:r w:rsidRPr="006251DB" w:rsidR="005F4215">
              <w:rPr>
                <w:rStyle w:val="Hyperlink"/>
                <w:color w:val="auto"/>
                <w:u w:val="none"/>
              </w:rPr>
              <w:t>seattlechildrens.org</w:t>
            </w:r>
          </w:hyperlink>
        </w:p>
      </w:tc>
      <w:tc>
        <w:tcPr>
          <w:tcW w:w="3683" w:type="dxa"/>
          <w:tcBorders>
            <w:top w:val="nil"/>
            <w:left w:val="single" w:color="BFBFBF" w:themeColor="background1" w:themeShade="BF" w:sz="4" w:space="0"/>
            <w:bottom w:val="nil"/>
            <w:right w:val="nil"/>
          </w:tcBorders>
        </w:tcPr>
        <w:p w:rsidRPr="009372F0" w:rsidR="005F4215" w:rsidP="006251DB" w:rsidRDefault="005F4215" w14:paraId="497D5C65" w14:textId="77777777">
          <w:pPr>
            <w:pStyle w:val="SCFirstPageFooterHeader"/>
          </w:pPr>
          <w:r w:rsidRPr="009372F0">
            <w:t>Free Interpreter Services</w:t>
          </w:r>
        </w:p>
        <w:p w:rsidRPr="00E04EAE" w:rsidR="005F4215" w:rsidP="005F4215" w:rsidRDefault="005F4215" w14:paraId="694E593E" w14:textId="77777777">
          <w:pPr>
            <w:pStyle w:val="SCFreeInterpreterBullet"/>
          </w:pPr>
          <w:r w:rsidRPr="009372F0">
            <w:t>In the hospital, ask your nurse.</w:t>
          </w:r>
        </w:p>
        <w:p w:rsidRPr="009372F0" w:rsidR="005F4215" w:rsidP="005F4215" w:rsidRDefault="005F4215" w14:paraId="7DC29575" w14:textId="77777777">
          <w:pPr>
            <w:pStyle w:val="SCFreeInterpreterBullet"/>
          </w:pPr>
          <w:r w:rsidRPr="009372F0">
            <w:t xml:space="preserve">From outside the hospital, call the toll-free Family Interpreting Line, </w:t>
          </w:r>
          <w:r w:rsidRPr="009372F0">
            <w:br/>
          </w:r>
          <w:r w:rsidRPr="009372F0">
            <w:t>1-866-583-1527. Tell the interpreter the name or extension you need</w:t>
          </w:r>
          <w:r>
            <w:t>.</w:t>
          </w:r>
        </w:p>
      </w:tc>
      <w:tc>
        <w:tcPr>
          <w:tcW w:w="2977" w:type="dxa"/>
          <w:tcBorders>
            <w:top w:val="nil"/>
            <w:left w:val="nil"/>
            <w:bottom w:val="nil"/>
          </w:tcBorders>
        </w:tcPr>
        <w:p w:rsidRPr="009372F0" w:rsidR="005F4215" w:rsidP="005F4215" w:rsidRDefault="005F4215" w14:paraId="2CECA5F6" w14:textId="77777777">
          <w:pPr>
            <w:ind w:left="115"/>
            <w:rPr>
              <w:rFonts w:ascii="Gotham Book" w:hAnsi="Gotham Book"/>
              <w:sz w:val="19"/>
              <w:szCs w:val="19"/>
            </w:rPr>
          </w:pPr>
          <w:r w:rsidRPr="009372F0">
            <w:rPr>
              <w:rFonts w:ascii="Gotham Book" w:hAnsi="Gotham Book"/>
              <w:b/>
              <w:noProof/>
              <w:sz w:val="20"/>
            </w:rPr>
            <w:drawing>
              <wp:anchor distT="0" distB="0" distL="114300" distR="114300" simplePos="0" relativeHeight="251665408" behindDoc="0" locked="0" layoutInCell="1" allowOverlap="1" wp14:anchorId="3E8A3E88" wp14:editId="588DB99A">
                <wp:simplePos x="0" y="0"/>
                <wp:positionH relativeFrom="margin">
                  <wp:posOffset>420180</wp:posOffset>
                </wp:positionH>
                <wp:positionV relativeFrom="margin">
                  <wp:posOffset>130175</wp:posOffset>
                </wp:positionV>
                <wp:extent cx="1508760" cy="713232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LOGO_smV_3col_spo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713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1"/>
  <w:p w:rsidR="005F4215" w:rsidRDefault="006251DB" w14:paraId="723D9E52" w14:textId="77777777">
    <w:pPr>
      <w:pStyle w:val="Footer"/>
    </w:pP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0DC2" w:rsidP="00E20DC2" w:rsidRDefault="00E20DC2" w14:paraId="5CB5035E" w14:textId="77777777">
      <w:pPr>
        <w:spacing w:after="0" w:line="240" w:lineRule="auto"/>
      </w:pPr>
      <w:r>
        <w:separator/>
      </w:r>
    </w:p>
  </w:footnote>
  <w:footnote w:type="continuationSeparator" w:id="0">
    <w:p w:rsidR="00E20DC2" w:rsidP="00E20DC2" w:rsidRDefault="00E20DC2" w14:paraId="1F80D5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5F4215" w:rsidR="00E20DC2" w:rsidP="005C16D9" w:rsidRDefault="00E20DC2" w14:paraId="7C9C35D7" w14:textId="77777777">
    <w:pPr>
      <w:pStyle w:val="SCSecondPageHeader"/>
    </w:pPr>
    <w:r w:rsidRPr="005F4215">
      <mc:AlternateContent>
        <mc:Choice Requires="wps">
          <w:drawing>
            <wp:anchor distT="45720" distB="91440" distL="114300" distR="114300" simplePos="0" relativeHeight="251659264" behindDoc="0" locked="0" layoutInCell="1" allowOverlap="1" wp14:anchorId="71C6A37C" wp14:editId="6C7ACFFE">
              <wp:simplePos x="0" y="0"/>
              <wp:positionH relativeFrom="column">
                <wp:posOffset>0</wp:posOffset>
              </wp:positionH>
              <wp:positionV relativeFrom="page">
                <wp:posOffset>619125</wp:posOffset>
              </wp:positionV>
              <wp:extent cx="6858000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A31FB86">
            <v:line id="Straight Connector 2" style="position:absolute;z-index:251659264;visibility:visible;mso-wrap-style:square;mso-width-percent:0;mso-wrap-distance-left:9pt;mso-wrap-distance-top:3.6pt;mso-wrap-distance-right:9pt;mso-wrap-distance-bottom:7.2pt;mso-position-horizontal:absolute;mso-position-horizontal-relative:text;mso-position-vertical:absolute;mso-position-vertical-relative:page;mso-width-percent:0;mso-width-relative:margin" o:spid="_x0000_s1026" strokecolor="#7f7f7f [1612]" strokeweight="1pt" from="0,48.75pt" to="540pt,48.75pt" w14:anchorId="02C7B5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">
              <v:stroke joinstyle="miter"/>
              <w10:wrap type="topAndBottom" anchory="page"/>
            </v:line>
          </w:pict>
        </mc:Fallback>
      </mc:AlternateContent>
    </w:r>
    <w:r w:rsidR="000C5A47">
      <w:t>Page 2 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color="auto" w:sz="0" w:space="0"/>
        <w:left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790"/>
    </w:tblGrid>
    <w:tr w:rsidR="006251DB" w:rsidTr="00E55DA0" w14:paraId="2753EB5E" w14:textId="77777777">
      <w:tc>
        <w:tcPr>
          <w:tcW w:w="10790" w:type="dxa"/>
          <w:tcMar>
            <w:left w:w="0" w:type="dxa"/>
            <w:bottom w:w="144" w:type="dxa"/>
            <w:right w:w="115" w:type="dxa"/>
          </w:tcMar>
        </w:tcPr>
        <w:p w:rsidRPr="00C1397A" w:rsidR="00C1397A" w:rsidP="00C95A89" w:rsidRDefault="00C95A89" w14:paraId="5201BA46" w14:textId="513D60DF">
          <w:pPr>
            <w:pStyle w:val="SCHeading1"/>
          </w:pPr>
          <w:r>
            <w:t>Wh</w:t>
          </w:r>
          <w:r w:rsidR="005A65CB">
            <w:t xml:space="preserve">at to Do When I Have Questions </w:t>
          </w:r>
          <w:r>
            <w:t xml:space="preserve">About My </w:t>
          </w:r>
          <w:r w:rsidR="005A65CB">
            <w:t>Infant’s Feeding</w:t>
          </w:r>
          <w:r>
            <w:t xml:space="preserve"> </w:t>
          </w:r>
        </w:p>
      </w:tc>
    </w:tr>
  </w:tbl>
  <w:p w:rsidRPr="006251DB" w:rsidR="005F4215" w:rsidP="006251DB" w:rsidRDefault="005F4215" w14:paraId="59794A1E" w14:textId="77777777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71E43"/>
    <w:multiLevelType w:val="hybridMultilevel"/>
    <w:tmpl w:val="19DEA25C"/>
    <w:lvl w:ilvl="0" w:tplc="254E714E">
      <w:start w:val="1"/>
      <w:numFmt w:val="decimal"/>
      <w:pStyle w:val="SCNumberedLis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9270A8"/>
    <w:multiLevelType w:val="hybridMultilevel"/>
    <w:tmpl w:val="3EBC3056"/>
    <w:lvl w:ilvl="0" w:tplc="DF1608FA">
      <w:start w:val="1"/>
      <w:numFmt w:val="bullet"/>
      <w:pStyle w:val="SCCheckBoxLis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CF7B92"/>
    <w:multiLevelType w:val="multilevel"/>
    <w:tmpl w:val="B81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DE90B90"/>
    <w:multiLevelType w:val="multilevel"/>
    <w:tmpl w:val="310631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FF05127"/>
    <w:multiLevelType w:val="hybridMultilevel"/>
    <w:tmpl w:val="A4DE4522"/>
    <w:lvl w:ilvl="0" w:tplc="A8DEFA42">
      <w:start w:val="1"/>
      <w:numFmt w:val="bullet"/>
      <w:pStyle w:val="SCFreeInterpreterBullet"/>
      <w:lvlText w:val="•"/>
      <w:lvlJc w:val="left"/>
      <w:pPr>
        <w:tabs>
          <w:tab w:val="num" w:pos="360"/>
        </w:tabs>
        <w:ind w:left="360" w:hanging="43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hint="default" w:ascii="Wingdings" w:hAnsi="Wingdings"/>
      </w:rPr>
    </w:lvl>
  </w:abstractNum>
  <w:abstractNum w:abstractNumId="5" w15:restartNumberingAfterBreak="0">
    <w:nsid w:val="7E7C25F9"/>
    <w:multiLevelType w:val="hybridMultilevel"/>
    <w:tmpl w:val="D9FAFFF4"/>
    <w:lvl w:ilvl="0" w:tplc="D4B602AA">
      <w:start w:val="1"/>
      <w:numFmt w:val="bullet"/>
      <w:pStyle w:val="SCBodyBullet"/>
      <w:lvlText w:val="•"/>
      <w:lvlJc w:val="left"/>
      <w:pPr>
        <w:ind w:left="720" w:hanging="360"/>
      </w:pPr>
      <w:rPr>
        <w:rFonts w:hint="default" w:ascii="Minion Pro" w:hAnsi="Minion Pr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2"/>
    <w:rsid w:val="00023BD1"/>
    <w:rsid w:val="00040395"/>
    <w:rsid w:val="000C5A47"/>
    <w:rsid w:val="000C6B11"/>
    <w:rsid w:val="000E47DC"/>
    <w:rsid w:val="001741A3"/>
    <w:rsid w:val="001742AA"/>
    <w:rsid w:val="001D547F"/>
    <w:rsid w:val="001E06FC"/>
    <w:rsid w:val="001E1D1C"/>
    <w:rsid w:val="001E5631"/>
    <w:rsid w:val="002649D8"/>
    <w:rsid w:val="00267BE3"/>
    <w:rsid w:val="002747F9"/>
    <w:rsid w:val="00325717"/>
    <w:rsid w:val="00397197"/>
    <w:rsid w:val="003B3E07"/>
    <w:rsid w:val="00406F95"/>
    <w:rsid w:val="0041289D"/>
    <w:rsid w:val="00473FCC"/>
    <w:rsid w:val="004C4047"/>
    <w:rsid w:val="00580BCC"/>
    <w:rsid w:val="005A65CB"/>
    <w:rsid w:val="005C16D9"/>
    <w:rsid w:val="005F4215"/>
    <w:rsid w:val="006251DB"/>
    <w:rsid w:val="00651E32"/>
    <w:rsid w:val="00765C95"/>
    <w:rsid w:val="007B6167"/>
    <w:rsid w:val="007C4A05"/>
    <w:rsid w:val="00805C20"/>
    <w:rsid w:val="008179DD"/>
    <w:rsid w:val="00821DB6"/>
    <w:rsid w:val="008A10A2"/>
    <w:rsid w:val="00950F68"/>
    <w:rsid w:val="009601B9"/>
    <w:rsid w:val="009D3DCC"/>
    <w:rsid w:val="00A35A39"/>
    <w:rsid w:val="00A552D1"/>
    <w:rsid w:val="00A63C4F"/>
    <w:rsid w:val="00AC23D0"/>
    <w:rsid w:val="00AD5D84"/>
    <w:rsid w:val="00B273AB"/>
    <w:rsid w:val="00C1397A"/>
    <w:rsid w:val="00C84563"/>
    <w:rsid w:val="00C87BBD"/>
    <w:rsid w:val="00C95A89"/>
    <w:rsid w:val="00CC7407"/>
    <w:rsid w:val="00D354E4"/>
    <w:rsid w:val="00D371ED"/>
    <w:rsid w:val="00DE2237"/>
    <w:rsid w:val="00E20DC2"/>
    <w:rsid w:val="00F26E94"/>
    <w:rsid w:val="00F408B3"/>
    <w:rsid w:val="00FA138E"/>
    <w:rsid w:val="00FE1E31"/>
    <w:rsid w:val="532FE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BC85412"/>
  <w15:chartTrackingRefBased/>
  <w15:docId w15:val="{1EBCAFF5-0CD8-488F-B696-DD360C9F32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0F6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DC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0DC2"/>
  </w:style>
  <w:style w:type="paragraph" w:styleId="Footer">
    <w:name w:val="footer"/>
    <w:basedOn w:val="Normal"/>
    <w:link w:val="FooterChar"/>
    <w:uiPriority w:val="99"/>
    <w:unhideWhenUsed/>
    <w:rsid w:val="00E20DC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0DC2"/>
  </w:style>
  <w:style w:type="table" w:styleId="TableGrid">
    <w:name w:val="Table Grid"/>
    <w:basedOn w:val="TableNormal"/>
    <w:rsid w:val="00E20D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BodyText" w:customStyle="1">
    <w:name w:val="SC Body Text"/>
    <w:basedOn w:val="Normal"/>
    <w:qFormat/>
    <w:rsid w:val="00950F68"/>
    <w:pPr>
      <w:spacing w:after="120" w:line="252" w:lineRule="auto"/>
    </w:pPr>
    <w:rPr>
      <w:rFonts w:ascii="Gotham Book" w:hAnsi="Gotham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765C95"/>
    <w:pPr>
      <w:ind w:left="720"/>
      <w:contextualSpacing/>
    </w:pPr>
  </w:style>
  <w:style w:type="paragraph" w:styleId="SCBodyBullet" w:customStyle="1">
    <w:name w:val="SC Body Bullet"/>
    <w:basedOn w:val="SCBodyText"/>
    <w:qFormat/>
    <w:rsid w:val="003B3E07"/>
    <w:pPr>
      <w:numPr>
        <w:numId w:val="1"/>
      </w:numPr>
      <w:spacing w:after="60"/>
      <w:ind w:left="288" w:hanging="216"/>
    </w:pPr>
  </w:style>
  <w:style w:type="paragraph" w:styleId="SCCheckBoxList" w:customStyle="1">
    <w:name w:val="SC Check Box List"/>
    <w:basedOn w:val="SCBodyBullet"/>
    <w:qFormat/>
    <w:rsid w:val="003B3E07"/>
    <w:pPr>
      <w:numPr>
        <w:numId w:val="2"/>
      </w:numPr>
      <w:ind w:left="360" w:hanging="288"/>
    </w:pPr>
  </w:style>
  <w:style w:type="paragraph" w:styleId="SCNumberedList" w:customStyle="1">
    <w:name w:val="SC Numbered List"/>
    <w:basedOn w:val="SCCheckBoxList"/>
    <w:qFormat/>
    <w:rsid w:val="004C4047"/>
    <w:pPr>
      <w:numPr>
        <w:numId w:val="3"/>
      </w:numPr>
      <w:ind w:left="360" w:hanging="288"/>
    </w:pPr>
  </w:style>
  <w:style w:type="paragraph" w:styleId="SCCheckBoxList-Last" w:customStyle="1">
    <w:name w:val="SC Check Box List-Last"/>
    <w:basedOn w:val="SCCheckBoxList"/>
    <w:qFormat/>
    <w:rsid w:val="004C4047"/>
    <w:pPr>
      <w:spacing w:after="120"/>
    </w:pPr>
  </w:style>
  <w:style w:type="paragraph" w:styleId="SCNumberedList-Last" w:customStyle="1">
    <w:name w:val="SC Numbered List-Last"/>
    <w:basedOn w:val="SCNumberedList"/>
    <w:qFormat/>
    <w:rsid w:val="004C4047"/>
    <w:pPr>
      <w:spacing w:after="120"/>
    </w:pPr>
  </w:style>
  <w:style w:type="paragraph" w:styleId="SCHeading2" w:customStyle="1">
    <w:name w:val="SC Heading 2"/>
    <w:basedOn w:val="Normal"/>
    <w:qFormat/>
    <w:rsid w:val="004C4047"/>
    <w:pPr>
      <w:spacing w:after="0" w:line="240" w:lineRule="auto"/>
    </w:pPr>
    <w:rPr>
      <w:rFonts w:ascii="Gotham Medium" w:hAnsi="Gotham Medium"/>
      <w:sz w:val="26"/>
      <w:szCs w:val="26"/>
    </w:rPr>
  </w:style>
  <w:style w:type="paragraph" w:styleId="SCHeading3" w:customStyle="1">
    <w:name w:val="SC Heading 3"/>
    <w:basedOn w:val="Normal"/>
    <w:qFormat/>
    <w:rsid w:val="004C4047"/>
    <w:pPr>
      <w:spacing w:after="0" w:line="240" w:lineRule="auto"/>
    </w:pPr>
    <w:rPr>
      <w:rFonts w:ascii="Gotham Medium" w:hAnsi="Gotham Medium"/>
      <w:color w:val="009FC2"/>
    </w:rPr>
  </w:style>
  <w:style w:type="paragraph" w:styleId="SCHeading1" w:customStyle="1">
    <w:name w:val="SC Heading 1"/>
    <w:basedOn w:val="Header"/>
    <w:qFormat/>
    <w:rsid w:val="004C4047"/>
    <w:rPr>
      <w:rFonts w:ascii="Gotham Medium" w:hAnsi="Gotham Medium"/>
      <w:noProof/>
      <w:color w:val="009FC2"/>
      <w:sz w:val="48"/>
      <w:szCs w:val="48"/>
    </w:rPr>
  </w:style>
  <w:style w:type="paragraph" w:styleId="SCHeading4" w:customStyle="1">
    <w:name w:val="SC Heading 4"/>
    <w:basedOn w:val="SCHeading2"/>
    <w:qFormat/>
    <w:rsid w:val="004C4047"/>
    <w:rPr>
      <w:sz w:val="22"/>
      <w:szCs w:val="22"/>
    </w:rPr>
  </w:style>
  <w:style w:type="paragraph" w:styleId="SCSidebarBullets" w:customStyle="1">
    <w:name w:val="SC Sidebar Bullets"/>
    <w:basedOn w:val="Normal"/>
    <w:rsid w:val="0041289D"/>
    <w:pPr>
      <w:spacing w:after="60" w:line="264" w:lineRule="auto"/>
      <w:ind w:left="115" w:hanging="115"/>
    </w:pPr>
    <w:rPr>
      <w:rFonts w:ascii="Gotham Book" w:hAnsi="Gotham Book" w:eastAsia="MS Mincho" w:cs="Times New Roman"/>
      <w:sz w:val="20"/>
      <w:szCs w:val="24"/>
      <w:lang w:eastAsia="ja-JP"/>
    </w:rPr>
  </w:style>
  <w:style w:type="character" w:styleId="Hyperlink">
    <w:name w:val="Hyperlink"/>
    <w:basedOn w:val="DefaultParagraphFont"/>
    <w:uiPriority w:val="99"/>
    <w:rsid w:val="0041289D"/>
    <w:rPr>
      <w:color w:val="0000FF"/>
      <w:u w:val="single"/>
    </w:rPr>
  </w:style>
  <w:style w:type="paragraph" w:styleId="SCBodyBullet-Last" w:customStyle="1">
    <w:name w:val="SC Body Bullet-Last"/>
    <w:basedOn w:val="SCBodyBullet"/>
    <w:qFormat/>
    <w:rsid w:val="00950F68"/>
    <w:pPr>
      <w:spacing w:after="120"/>
    </w:pPr>
  </w:style>
  <w:style w:type="paragraph" w:styleId="SCToLearnMoreBullet" w:customStyle="1">
    <w:name w:val="SC To Learn More Bullet"/>
    <w:basedOn w:val="SCFreeInterpreterBullet"/>
    <w:qFormat/>
    <w:rsid w:val="006251DB"/>
    <w:pPr>
      <w:spacing w:after="80"/>
    </w:pPr>
  </w:style>
  <w:style w:type="paragraph" w:styleId="SCFreeInterpreterBullet" w:customStyle="1">
    <w:name w:val="SC Free Interpreter Bullet"/>
    <w:basedOn w:val="Normal"/>
    <w:qFormat/>
    <w:rsid w:val="003B3E07"/>
    <w:pPr>
      <w:numPr>
        <w:numId w:val="4"/>
      </w:numPr>
      <w:spacing w:after="20" w:line="240" w:lineRule="auto"/>
      <w:ind w:hanging="115"/>
    </w:pPr>
    <w:rPr>
      <w:rFonts w:ascii="Gotham Book" w:hAnsi="Gotham Book"/>
      <w:sz w:val="19"/>
      <w:szCs w:val="19"/>
    </w:rPr>
  </w:style>
  <w:style w:type="paragraph" w:styleId="SCLastPageDisclaimer" w:customStyle="1">
    <w:name w:val="SC Last Page Disclaimer"/>
    <w:basedOn w:val="Normal"/>
    <w:qFormat/>
    <w:rsid w:val="003B3E07"/>
    <w:pPr>
      <w:spacing w:after="40" w:line="240" w:lineRule="auto"/>
    </w:pPr>
    <w:rPr>
      <w:rFonts w:ascii="Gotham Book" w:hAnsi="Gotham Book" w:cs="Arial"/>
      <w:sz w:val="14"/>
      <w:szCs w:val="14"/>
    </w:rPr>
  </w:style>
  <w:style w:type="paragraph" w:styleId="SCDate-Item" w:customStyle="1">
    <w:name w:val="SC Date-Item#"/>
    <w:basedOn w:val="Normal"/>
    <w:qFormat/>
    <w:rsid w:val="003B3E07"/>
    <w:pPr>
      <w:spacing w:after="40" w:line="240" w:lineRule="auto"/>
      <w:jc w:val="right"/>
    </w:pPr>
    <w:rPr>
      <w:rFonts w:ascii="Gotham Book" w:hAnsi="Gotham Book" w:cs="Arial"/>
      <w:sz w:val="15"/>
    </w:rPr>
  </w:style>
  <w:style w:type="paragraph" w:styleId="SCPageNumber" w:customStyle="1">
    <w:name w:val="SC Page Number"/>
    <w:basedOn w:val="Normal"/>
    <w:qFormat/>
    <w:rsid w:val="005F4215"/>
    <w:pPr>
      <w:spacing w:after="40" w:line="240" w:lineRule="auto"/>
    </w:pPr>
    <w:rPr>
      <w:rFonts w:ascii="Gotham Book" w:hAnsi="Gotham Book" w:cs="Arial"/>
      <w:b/>
      <w:sz w:val="20"/>
      <w:szCs w:val="20"/>
    </w:rPr>
  </w:style>
  <w:style w:type="paragraph" w:styleId="SCFirstPageFooter" w:customStyle="1">
    <w:name w:val="SC First Page Footer"/>
    <w:basedOn w:val="Normal"/>
    <w:rsid w:val="005F4215"/>
    <w:pPr>
      <w:tabs>
        <w:tab w:val="right" w:pos="8640"/>
      </w:tabs>
      <w:spacing w:after="0" w:line="240" w:lineRule="auto"/>
      <w:ind w:left="-3240"/>
    </w:pPr>
    <w:rPr>
      <w:rFonts w:ascii="Gotham Book" w:hAnsi="Gotham Book" w:eastAsia="MS Mincho" w:cs="Times New Roman"/>
      <w:b/>
      <w:sz w:val="20"/>
      <w:szCs w:val="24"/>
      <w:lang w:eastAsia="ja-JP"/>
    </w:rPr>
  </w:style>
  <w:style w:type="character" w:styleId="PageNumber">
    <w:name w:val="page number"/>
    <w:basedOn w:val="DefaultParagraphFont"/>
    <w:rsid w:val="005F4215"/>
    <w:rPr>
      <w:rFonts w:ascii="Gotham Book" w:hAnsi="Gotham Book"/>
      <w:b/>
      <w:sz w:val="20"/>
    </w:rPr>
  </w:style>
  <w:style w:type="paragraph" w:styleId="SCInfoFooter" w:customStyle="1">
    <w:name w:val="SC Info Footer"/>
    <w:basedOn w:val="Normal"/>
    <w:rsid w:val="005F4215"/>
    <w:pPr>
      <w:spacing w:after="40" w:line="240" w:lineRule="auto"/>
    </w:pPr>
    <w:rPr>
      <w:rFonts w:ascii="Gotham Book" w:hAnsi="Gotham Book" w:eastAsia="MS Mincho" w:cs="Arial"/>
      <w:sz w:val="15"/>
      <w:szCs w:val="24"/>
      <w:lang w:eastAsia="ja-JP"/>
    </w:rPr>
  </w:style>
  <w:style w:type="paragraph" w:styleId="SCSecondPageHeader" w:customStyle="1">
    <w:name w:val="SC Second Page Header"/>
    <w:basedOn w:val="SCHeading1"/>
    <w:qFormat/>
    <w:rsid w:val="005F4215"/>
    <w:rPr>
      <w:color w:val="000000" w:themeColor="text1"/>
      <w:sz w:val="22"/>
      <w:szCs w:val="22"/>
    </w:rPr>
  </w:style>
  <w:style w:type="paragraph" w:styleId="SCFirstPageFooterHeader" w:customStyle="1">
    <w:name w:val="SC First Page Footer Header"/>
    <w:basedOn w:val="Normal"/>
    <w:qFormat/>
    <w:rsid w:val="006251DB"/>
    <w:pPr>
      <w:keepNext/>
      <w:spacing w:after="80" w:line="240" w:lineRule="auto"/>
    </w:pPr>
    <w:rPr>
      <w:rFonts w:ascii="Gotham Book" w:hAnsi="Gotham Book"/>
      <w:b/>
    </w:rPr>
  </w:style>
  <w:style w:type="paragraph" w:styleId="SCSubtitle" w:customStyle="1">
    <w:name w:val="SC Subtitle"/>
    <w:basedOn w:val="SCHeading1"/>
    <w:qFormat/>
    <w:rsid w:val="00C1397A"/>
    <w:pPr>
      <w:spacing w:before="120" w:after="120"/>
    </w:pPr>
    <w:rPr>
      <w:sz w:val="36"/>
      <w:szCs w:val="36"/>
    </w:rPr>
  </w:style>
  <w:style w:type="paragraph" w:styleId="SCTranslationTitle" w:customStyle="1">
    <w:name w:val="SC Translation Title"/>
    <w:basedOn w:val="SCHeading1"/>
    <w:qFormat/>
    <w:rsid w:val="00AD5D84"/>
    <w:pPr>
      <w:spacing w:after="120"/>
      <w:jc w:val="right"/>
    </w:pPr>
    <w:rPr>
      <w:rFonts w:ascii="Gotham Book" w:hAnsi="Gotham Book"/>
      <w:sz w:val="16"/>
      <w:szCs w:val="16"/>
    </w:rPr>
  </w:style>
  <w:style w:type="paragraph" w:styleId="xmsolistparagraph" w:customStyle="1">
    <w:name w:val="x_msolistparagraph"/>
    <w:basedOn w:val="Normal"/>
    <w:rsid w:val="009D3DC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xmsonormal" w:customStyle="1">
    <w:name w:val="x_msonormal"/>
    <w:basedOn w:val="Normal"/>
    <w:rsid w:val="00C95A8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95A8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6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5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A6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5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65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A65C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0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llusa.org/locator/" TargetMode="External" Id="rId13" /><Relationship Type="http://schemas.openxmlformats.org/officeDocument/2006/relationships/footer" Target="footer2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urldefense.proofpoint.com/v2/url?u=https-3A__resources.parenthelp123.org_&amp;d=DwMF-g&amp;c=aBkXpkKi7gN5fe5MqrMaN-VmRugaRb1IDRfSv2xVRy0&amp;r=NMciVkIdcpkJ9XDotlsUpo_wqWAbRVIu6wtmm5MBxbk&amp;m=I88RIyScGNy21HJsFrgsk7ngtqxraUWVvN606nLtsmo&amp;s=AvWBwETi7MavELlqPXoD5Rzi-UPQz-iIdvq6SgigcSc&amp;e=" TargetMode="External" Id="rId7" /><Relationship Type="http://schemas.openxmlformats.org/officeDocument/2006/relationships/hyperlink" Target="https://questionnaire.feedingmatters.org/questionnaire" TargetMode="External" Id="rId12" /><Relationship Type="http://schemas.openxmlformats.org/officeDocument/2006/relationships/header" Target="head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microsoft.com/office/2016/09/relationships/commentsIds" Target="commentsIds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hyperlink" Target="https://www.ellynsatterinstitute.org/" TargetMode="Externa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eattlechildre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McKinstry, Beth</dc:creator>
  <keywords/>
  <dc:description/>
  <lastModifiedBy>Ben Plant</lastModifiedBy>
  <revision>4</revision>
  <dcterms:created xsi:type="dcterms:W3CDTF">2021-06-15T20:40:00.0000000Z</dcterms:created>
  <dcterms:modified xsi:type="dcterms:W3CDTF">2021-12-15T19:37:00.0192602Z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2020-12-11T00:23:07Z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06d046fe-cd35-47e0-9c91-541d24b7e78f</vt:lpwstr>
  </property>
  <property fmtid="{D5CDD505-2E9C-101B-9397-08002B2CF9AE}" pid="8" name="MSIP_Label_046da4d3-ba20-4986-879c-49e262eff745_ContentBits">
    <vt:lpwstr>0</vt:lpwstr>
  </property>
</Properties>
</file>